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AF8" w:rsidRPr="0046150B" w:rsidRDefault="00D90AF8" w:rsidP="00D90AF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eastAsia="Times New Roman" w:hAnsi="Xunta Sans" w:cs="Times New Roman"/>
          <w:b/>
          <w:sz w:val="22"/>
          <w:szCs w:val="22"/>
          <w:lang w:val="gl-ES" w:bidi="ar-SA"/>
        </w:rPr>
      </w:pPr>
      <w:bookmarkStart w:id="0" w:name="_GoBack"/>
      <w:r w:rsidRPr="0046150B">
        <w:rPr>
          <w:rFonts w:ascii="Xunta Sans" w:hAnsi="Xunta Sans"/>
          <w:b/>
          <w:sz w:val="22"/>
          <w:szCs w:val="22"/>
        </w:rPr>
        <w:t xml:space="preserve">CORPO FACULTATIVO SUPERIOR DE ADMINISTRACIÓN ESPECIAL DA ADMINISTRACIÓN XERAL DA COMUNIDADE AUTÓNOMA DE GALICIA, SUBGRUPO A1, ESCALA DE ENXEÑARÍA, ESPECIALIDADES DE ENXEÑARÍA INDUSTRIAL. DOG núm. 241, do 17 de </w:t>
      </w:r>
      <w:proofErr w:type="spellStart"/>
      <w:r w:rsidRPr="0046150B">
        <w:rPr>
          <w:rFonts w:ascii="Xunta Sans" w:hAnsi="Xunta Sans"/>
          <w:b/>
          <w:sz w:val="22"/>
          <w:szCs w:val="22"/>
        </w:rPr>
        <w:t>decembro</w:t>
      </w:r>
      <w:proofErr w:type="spellEnd"/>
      <w:r w:rsidRPr="0046150B">
        <w:rPr>
          <w:rFonts w:ascii="Xunta Sans" w:hAnsi="Xunta Sans"/>
          <w:b/>
          <w:sz w:val="22"/>
          <w:szCs w:val="22"/>
        </w:rPr>
        <w:t xml:space="preserve"> de 2021</w:t>
      </w:r>
    </w:p>
    <w:p w:rsidR="00D90AF8" w:rsidRPr="0046150B" w:rsidRDefault="00D90AF8" w:rsidP="00D90AF8">
      <w:pPr>
        <w:rPr>
          <w:rFonts w:ascii="Xunta Sans" w:eastAsia="Times New Roman" w:hAnsi="Xunta Sans" w:cs="Times New Roman"/>
          <w:sz w:val="22"/>
          <w:szCs w:val="22"/>
          <w:lang w:val="gl-ES" w:bidi="ar-SA"/>
        </w:rPr>
      </w:pPr>
    </w:p>
    <w:p w:rsidR="00D90AF8" w:rsidRPr="0046150B" w:rsidRDefault="00D90AF8" w:rsidP="00D90AF8">
      <w:pPr>
        <w:pStyle w:val="Standard"/>
        <w:jc w:val="both"/>
        <w:rPr>
          <w:rFonts w:ascii="Xunta Sans" w:hAnsi="Xunta Sans"/>
          <w:sz w:val="22"/>
          <w:szCs w:val="22"/>
          <w:lang w:bidi="hi-IN"/>
        </w:rPr>
      </w:pPr>
    </w:p>
    <w:p w:rsidR="00D90AF8" w:rsidRPr="0046150B" w:rsidRDefault="00D90AF8" w:rsidP="00D90AF8">
      <w:pPr>
        <w:pStyle w:val="Standard"/>
        <w:jc w:val="both"/>
        <w:rPr>
          <w:rFonts w:ascii="Xunta Sans" w:hAnsi="Xunta Sans"/>
          <w:sz w:val="22"/>
          <w:szCs w:val="22"/>
          <w:lang w:bidi="hi-IN"/>
        </w:rPr>
      </w:pPr>
    </w:p>
    <w:p w:rsidR="00D90AF8" w:rsidRPr="0046150B" w:rsidRDefault="00D90AF8" w:rsidP="00D90AF8">
      <w:pPr>
        <w:pStyle w:val="Standard"/>
        <w:numPr>
          <w:ilvl w:val="0"/>
          <w:numId w:val="1"/>
        </w:numPr>
        <w:spacing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b/>
          <w:bCs/>
          <w:sz w:val="22"/>
          <w:szCs w:val="22"/>
        </w:rPr>
        <w:t xml:space="preserve">A) Parte xeral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1. A Constitución española de 1978: título preliminar, título I, artigos 10, 14, 23, capítulo IV e capítulo V e título VIII.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2. Lei orgánica 1/1981, do 6 de abril, do Estatuto de autonomía para Galicia: título I, título II e título III.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3. Lei 39/2015, do 1 de outubro, do procedemento administrativo común das administracións públicas: título III, título IV, capítulo I e capítulo IV e título V.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4. Lei 4/2019, do 17 de xullo, da administración dixital de Galicia: título preliminar, título I, capítulo I.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5. Lei 40/2015, do 1 de outubro, de réxime xurídico do sector público: título preliminar, capítulos III e IV.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6. Lei 16/2010, do 17 de decembro, de organización e funcionamento da Administración xeral e do sector público autonómico: título preliminar, título I.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>7. Lei 2/2015, do 29 de abril, do emprego público de Galicia: título III, título VI capítulos III e IV e título VIII.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8. Lei orgánica 3/2018, do 5 de decembro, de protección de datos persoais e garantía dos dereitos dixitais: título I, título II, título III e título VIII.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>9. Decreto lexislativo 2/2015, do 12 de febreiro, polo que se aproba o texto refundido das disposicións legais da Comunidade Autónoma de Galicia en materia de igualdade: título preliminar e título I. E o título I da Lei orgánica 1/2004, do 28 de decembro, de medidas de protección integral contra a violencia de xénero.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>10. Real decreto lexislativo 1/2013, do 29 de novembro, polo que se aproba o texto refundido da Lei xeral de dereitos das persoas con discapacidade e da súa inclusión social: título preliminar e título I.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11. Lei 1/2016, do 18 de xaneiro, de transparencia e bo goberno: título preliminar e título I.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lastRenderedPageBreak/>
        <w:t xml:space="preserve">12. Lei 9/2007, do 13 de xaneiro, de subvencións de Galicia.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>13. Lei 9/2017, de contratos do sector público, libros I e II.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</w:p>
    <w:p w:rsidR="00D90AF8" w:rsidRPr="0046150B" w:rsidRDefault="00A86684" w:rsidP="00D90AF8">
      <w:pPr>
        <w:pStyle w:val="Standard"/>
        <w:numPr>
          <w:ilvl w:val="0"/>
          <w:numId w:val="1"/>
        </w:numPr>
        <w:spacing w:line="360" w:lineRule="auto"/>
        <w:jc w:val="both"/>
        <w:rPr>
          <w:rFonts w:ascii="Xunta Sans" w:hAnsi="Xunta Sans"/>
          <w:b/>
          <w:bCs/>
          <w:sz w:val="22"/>
          <w:szCs w:val="22"/>
        </w:rPr>
      </w:pPr>
      <w:r w:rsidRPr="0046150B">
        <w:rPr>
          <w:rFonts w:ascii="Xunta Sans" w:hAnsi="Xunta Sans"/>
          <w:b/>
          <w:bCs/>
          <w:sz w:val="22"/>
          <w:szCs w:val="22"/>
        </w:rPr>
        <w:t>B</w:t>
      </w:r>
      <w:r w:rsidR="00D90AF8" w:rsidRPr="0046150B">
        <w:rPr>
          <w:rFonts w:ascii="Xunta Sans" w:hAnsi="Xunta Sans"/>
          <w:b/>
          <w:bCs/>
          <w:sz w:val="22"/>
          <w:szCs w:val="22"/>
        </w:rPr>
        <w:t>) Parte específica da escala de enxeñaría, especialidade de enxeñaría industrial:</w:t>
      </w:r>
    </w:p>
    <w:p w:rsidR="00D90AF8" w:rsidRPr="0046150B" w:rsidRDefault="00D90AF8" w:rsidP="00D90AF8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1. Decreto lexislativo 1/2015, do 12 de febreiro, polo que se aproba o texto refundido das disposicións legais da Comunidade Autónoma de Galicia en materia de política industrial (libro segundo: política industrial).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2. Aspectos xurídicos básicos da empresa. Clases de empresas segundo a súa forma xurídica. Especial mención á sociedade anónima. O rexistro mercantil. Outros tipos de empresas. Sociedades limitadas. Empresas cooperativas.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3. Os estados financeiros da empresa. Balance. Conta de resultados. Ordenación de contas. Masas patrimoniais do activo e pasivo.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4. Análise e diagnóstico económico-financeiro. Obxectivos financeiros da empresa. Rendibilidade, liquidez e risco. Obxectivos do diagnóstico. Análise patrimonial. Esquema de orixe e aplicación de fondos.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5. Medidas da liquidez. </w:t>
      </w:r>
      <w:proofErr w:type="spellStart"/>
      <w:r w:rsidRPr="0046150B">
        <w:rPr>
          <w:rFonts w:ascii="Xunta Sans" w:hAnsi="Xunta Sans"/>
          <w:sz w:val="22"/>
          <w:szCs w:val="22"/>
        </w:rPr>
        <w:t>Cash-flow</w:t>
      </w:r>
      <w:proofErr w:type="spellEnd"/>
      <w:r w:rsidRPr="0046150B">
        <w:rPr>
          <w:rFonts w:ascii="Xunta Sans" w:hAnsi="Xunta Sans"/>
          <w:sz w:val="22"/>
          <w:szCs w:val="22"/>
        </w:rPr>
        <w:t xml:space="preserve"> e o seu financiamento. Rotación do activo circulante e os seus compoñentes. Flotación de provedores. Medidas da solvencia e a liquidez. Fondo de manobra e capital de traballo necesario.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6. Rendibilidade sobre fondos propios e rendemento sobre activo total. Descomposición da rendibilidade: marxe, rotación, </w:t>
      </w:r>
      <w:proofErr w:type="spellStart"/>
      <w:r w:rsidRPr="0046150B">
        <w:rPr>
          <w:rFonts w:ascii="Xunta Sans" w:hAnsi="Xunta Sans"/>
          <w:sz w:val="22"/>
          <w:szCs w:val="22"/>
        </w:rPr>
        <w:t>apancamento</w:t>
      </w:r>
      <w:proofErr w:type="spellEnd"/>
      <w:r w:rsidRPr="0046150B">
        <w:rPr>
          <w:rFonts w:ascii="Xunta Sans" w:hAnsi="Xunta Sans"/>
          <w:sz w:val="22"/>
          <w:szCs w:val="22"/>
        </w:rPr>
        <w:t xml:space="preserve"> financeiro. Análise de custos: fixos e variables. As relacións custo-volume-beneficio. O punto morto.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>7. Planificación estratéxica e operativa. Programación e orzamentos. Modelos e instrumentos de planificación, programación e elaboración de orzamentos. Funcións directivas: planificación, organización, dirección, motivación e control.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8. Estrutura financeira da empresa. Fontes de financiamento: propias e alleas. O concepto de custo dos recursos e a súa utilización na selección de proxectos de investimentos. Fontes de financiamento máis comúns no noso sistema financeiro, inscrición, utilización, custos e mercados subministradores.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9. O plan de investimentos. Investimento inicial, custos relevantes, fluxos de custos anuais. Criterios económicos de decisión para a aceptación de proxectos de investimentos e a súa </w:t>
      </w:r>
      <w:proofErr w:type="spellStart"/>
      <w:r w:rsidRPr="0046150B">
        <w:rPr>
          <w:rFonts w:ascii="Xunta Sans" w:hAnsi="Xunta Sans"/>
          <w:sz w:val="22"/>
          <w:szCs w:val="22"/>
        </w:rPr>
        <w:t>priorización</w:t>
      </w:r>
      <w:proofErr w:type="spellEnd"/>
      <w:r w:rsidRPr="0046150B">
        <w:rPr>
          <w:rFonts w:ascii="Xunta Sans" w:hAnsi="Xunta Sans"/>
          <w:sz w:val="22"/>
          <w:szCs w:val="22"/>
        </w:rPr>
        <w:t xml:space="preserve">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lastRenderedPageBreak/>
        <w:t xml:space="preserve">10. O concurso. Declaración de concurso e os seus efectos sobre as empresas. A Administración </w:t>
      </w:r>
      <w:proofErr w:type="spellStart"/>
      <w:r w:rsidRPr="0046150B">
        <w:rPr>
          <w:rFonts w:ascii="Xunta Sans" w:hAnsi="Xunta Sans"/>
          <w:sz w:val="22"/>
          <w:szCs w:val="22"/>
        </w:rPr>
        <w:t>concursal</w:t>
      </w:r>
      <w:proofErr w:type="spellEnd"/>
      <w:r w:rsidRPr="0046150B">
        <w:rPr>
          <w:rFonts w:ascii="Xunta Sans" w:hAnsi="Xunta Sans"/>
          <w:sz w:val="22"/>
          <w:szCs w:val="22"/>
        </w:rPr>
        <w:t>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11. Marco comunitario sobre axudas estatais de investigación e desenvolvemento e innovación.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12. Lei 5/2013, do 30 de maio, de fomento da investigación e da innovación en Galicia.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13. Lei 24/2015, do 24 de xullo, de patentes: títulos I, II, III, IV e V. Lei 17/2001, do 7 de decembro, de marcas: títulos I, II e III.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14. Lei 3/2008, do 23 de maio, de ordenación da minaría de Galicia.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15. Real decreto 1836/1999, do 3 de decembro, polo que se aproba o Regulamento sobre instalacións nucleares e radioactivas. Competencias da Comunidade Autónoma de Galicia nesta materia.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>16. Lei 9/2010, do 4 de novembro, de augas de Galicia: títulos I, II, III e V.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17. Lei 1/2021, do 8 de xaneiro, de ordenación do territorio de Galicia: capítulos I ao V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18. Lei 21/2013, do 9 de decembro, de avaliación ambiental: títulos do I ao III. Anexo I e anexo II.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>19. Real decreto lexislativo 1/2016, do 16 de decembre, polo que se aproba o texto refundido da Lei de prevención e control integrados da contaminación: títulos I, II e III.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20. Lei 7/2021, do 20 de maio, de cambio climático e transición enerxética: (títulos I, II, III, IV e VI).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21. A Lei 1/1995, de protección ambiental de Galicia: títulos do I ao IV. Lei 9/2013, do 19 de decembro, do </w:t>
      </w:r>
      <w:proofErr w:type="spellStart"/>
      <w:r w:rsidRPr="0046150B">
        <w:rPr>
          <w:rFonts w:ascii="Xunta Sans" w:hAnsi="Xunta Sans"/>
          <w:sz w:val="22"/>
          <w:szCs w:val="22"/>
        </w:rPr>
        <w:t>emprendemento</w:t>
      </w:r>
      <w:proofErr w:type="spellEnd"/>
      <w:r w:rsidRPr="0046150B">
        <w:rPr>
          <w:rFonts w:ascii="Xunta Sans" w:hAnsi="Xunta Sans"/>
          <w:sz w:val="22"/>
          <w:szCs w:val="22"/>
        </w:rPr>
        <w:t xml:space="preserve"> e da competitividade económica de Galicia: capítulo II, título III.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22. Lei 17/2009, do 23 de novembro, sobre o libre acceso ás actividades de servizos e o seu exercicio.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>23. Lei 32/2014, do 22 de decembro, de metroloxía: capítulos I ao VI. Real decreto 244/2016, do 3 de xuño, polo que se desenvolve a Lei 32/2014, do 22 de decembro, de metroloxía: capítulos I ao V.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lastRenderedPageBreak/>
        <w:t>24. Lei 31/1995, do 8 de novembro, de prevención de riscos laborais. Real decreto 486/1997, do 14 de abril, polo que se establecen as disposicións mínimas de seguridade e saúde nos lugares de traballo: anexo I.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25. Lei 24/2013, do 26 de decembro, do sector eléctrico.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26. Real decreto 1955/2000, do 1 de decembro, polo que se regulan as actividades de transporte, distribución, comercialización, subministración e procedementos de autorización de instalacións de enerxía eléctrica: títulos I ao VII. Lei 9/2021, de 25 de febreiro, de simplificación administrativa e de apoio á reactivación económica de Galicia: título III.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27. Real decreto 1048/2013, do 27 de decembro, polo que se establece a metodoloxía para o cálculo da retribución da actividade de distribución de enerxía eléctrica: capítulos I, II, VI e VII. Real decreto 1699/2011, do 18 de novembro, polo que se regula a conexión á rede de instalacións de produción de enerxía eléctrica de pequena potencia: capítulos I, II, III e IV. Real decreto 1183/2020, do 29 de decembro, de acceso e conexión ás redes de transporte e distribución de enerxía eléctrica (capítulos I ao IX).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>28. Real decreto 223/2008, do 15 de febreiro, polo que se aproban o Regulamento sobre condicións técnicas e garantías de seguridade en liñas eléctricas de alta tensión e as súas ITC LAT-04 e LAT-05.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29. Real decreto 413/2014, do 6 de xuño, polo que se regula a actividade de produción de enerxía eléctrica a partir de fontes de enerxía renovables, </w:t>
      </w:r>
      <w:proofErr w:type="spellStart"/>
      <w:r w:rsidRPr="0046150B">
        <w:rPr>
          <w:rFonts w:ascii="Xunta Sans" w:hAnsi="Xunta Sans"/>
          <w:sz w:val="22"/>
          <w:szCs w:val="22"/>
        </w:rPr>
        <w:t>coxeración</w:t>
      </w:r>
      <w:proofErr w:type="spellEnd"/>
      <w:r w:rsidRPr="0046150B">
        <w:rPr>
          <w:rFonts w:ascii="Xunta Sans" w:hAnsi="Xunta Sans"/>
          <w:sz w:val="22"/>
          <w:szCs w:val="22"/>
        </w:rPr>
        <w:t xml:space="preserve"> e residuos: títulos I ao VI.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30. Lei 8/2009, do 22 de decembro, pola que se regula o aproveitamento eólico en Galicia e se crean o canon eólico e o Fondo de Compensación Ambiental.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31. Real decreto 244/2019, do 5 de abril, polo que se regulan as condicións administrativas, técnicas e económicas do autoconsumo de enerxía eléctrica.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32.Real decreto 390/2021, do 1 de xuño, polo que se aproba o procedemento básico para a certificación da eficiencia enerxética dos edificios.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33. Lei 34/1998, do 7 de outubro, do sector de hidrocarburos.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34. Real decreto 1434/2002, do 27 de decembro, polo que se regulan as actividades de transporte, distribución, comercialización, subministración e procedementos de autorización de instalacións de gas natural: títulos I ao IV.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lastRenderedPageBreak/>
        <w:t xml:space="preserve">35. Real decreto 919/2006, do 28 de xullo, polo que se aproban o Regulamento técnico de distribución e utilización de combustibles gasosos e as súas ICG 01, 03, 04 e 07.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36. Lei 21/1992, do 16 de xullo, de industria. Real decreto 2200/1995, do 28 de decembro, polo que se aproba o Regulamento da infraestrutura para a calidade e a seguridade industrial.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37. Decreto lexislativo 1/2015, do 12 de febreiro, polo que se aproba o texto refundido das disposicións legais da Comunidade Autónoma de Galicia en materia de política industrial (libro primeiro: seguridade industrial).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>38. Avaliación da conformidade e marcación CE. Vixilancia do mercado. Cláusula de salvagarda.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>39. Real decreto 559/2010, do 7 de maio, polo que se aproba o Regulamento do Rexistro Integrado Industrial. Decreto 37/2015, do 12 de marzo, polo que se aproba o Regulamento do Rexistro Industrial de Galicia.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40. Real decreto 842/2002, do 2 de agosto, polo que se aproban o Regulamento </w:t>
      </w:r>
      <w:proofErr w:type="spellStart"/>
      <w:r w:rsidRPr="0046150B">
        <w:rPr>
          <w:rFonts w:ascii="Xunta Sans" w:hAnsi="Xunta Sans"/>
          <w:sz w:val="22"/>
          <w:szCs w:val="22"/>
        </w:rPr>
        <w:t>electrotécnico</w:t>
      </w:r>
      <w:proofErr w:type="spellEnd"/>
      <w:r w:rsidRPr="0046150B">
        <w:rPr>
          <w:rFonts w:ascii="Xunta Sans" w:hAnsi="Xunta Sans"/>
          <w:sz w:val="22"/>
          <w:szCs w:val="22"/>
        </w:rPr>
        <w:t xml:space="preserve"> para baixa tensión e as súas ITC BT-04 e BT-05.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>41. Real decreto 337/2014, do 9 de maio, polo que se aproban o Regulamento sobre condicións técnicas e garantías de seguridade en instalacións eléctricas de alta tensión e as súas instrucións técnicas complementarias ITC-RAT 22 e 23.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42. Real decreto 1027/2007, do 20 de xullo, polo que se aproban o Regulamento de instalacións térmicas nos edificios e a súa ITC 04.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>43. Real decreto 2085/1994, do 20 de outubro, polo que se aproban o Regulamento de instalacións petrolíferas e a súa ITC MI-IP 02.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44. Real decreto 809/2021, do 21 de setembro, polo que se aproba o Regulamento de equipamentos a presión e as súas instrucións técnicas complementarias. ITC EP-1, caldeiras. ITC EP-2, centrais xeradoras de enerxía eléctrica.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45. Real decreto 656/2017, do 23 de xuño, polo que se aproban o Regulamento de almacenamento de produtos químicos e as súas ITC.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46. Real decreto 552/2019, do 27 de setembro, polo que se aproban o Regulamento de seguridade para instalacións frigoríficas e as súas instrucións técnicas complementarias: capítulos I, II, III, IV e V.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lastRenderedPageBreak/>
        <w:t xml:space="preserve">47. Real decreto 1457/1986, do 10 de xaneiro, polo que se regulan a actividade industrial e a prestación de servizos nos talleres de reparación de vehículos automóbiles, dos seus equipamentos e compoñentes. Real decreto 920/2017, do 23 de outubro, polo que se regula a inspección técnica de vehículos.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48. Real decreto 513/2017, do 22 de maio, polo que se aproba o Regulamento de instalacións de protección contra incendios. 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49. Real decreto 2267/2004, do 3 de decembro, polo que se aproba o Regulamento de seguridade contra incendios nos establecementos industriais, e anexo III. </w:t>
      </w:r>
    </w:p>
    <w:p w:rsidR="00D7672B" w:rsidRPr="0046150B" w:rsidRDefault="00D7672B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>50. Aparatos de elevación e manutención deles: Real decreto 203/2016, do 20 de maio, polo que se establecen os requisitos esenciais de seguridade para a comercialización de ascensores e compoñentes de seguridade para ascensores.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>51. Aparatos de elevación e manutención deles: Real decreto 836/2003, do 27 de xuño, polo que se aproba a instrución técnica complementaria MIE-AEM-2. Real decreto 837/2003, do 27 de xuño, polo que se aproba a instrución técnica complementaria MIE-AEM-4.</w:t>
      </w:r>
    </w:p>
    <w:p w:rsidR="00D90AF8" w:rsidRPr="0046150B" w:rsidRDefault="00D90AF8" w:rsidP="00D90A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46150B">
        <w:rPr>
          <w:rFonts w:ascii="Xunta Sans" w:hAnsi="Xunta Sans"/>
          <w:sz w:val="22"/>
          <w:szCs w:val="22"/>
        </w:rPr>
        <w:t xml:space="preserve">52. Real decreto 840/2015, </w:t>
      </w:r>
      <w:r w:rsidR="00D7672B" w:rsidRPr="0046150B">
        <w:rPr>
          <w:rFonts w:ascii="Xunta Sans" w:hAnsi="Xunta Sans"/>
          <w:sz w:val="22"/>
          <w:szCs w:val="22"/>
        </w:rPr>
        <w:t>do 21 de setembro</w:t>
      </w:r>
      <w:r w:rsidRPr="0046150B">
        <w:rPr>
          <w:rFonts w:ascii="Xunta Sans" w:hAnsi="Xunta Sans"/>
          <w:sz w:val="22"/>
          <w:szCs w:val="22"/>
        </w:rPr>
        <w:t>, polo que se aproban medidas de control dos riscos inherentes aos accidentes graves en que interveñan substancias perigosas.</w:t>
      </w:r>
    </w:p>
    <w:bookmarkEnd w:id="0"/>
    <w:p w:rsidR="00240CDD" w:rsidRPr="0046150B" w:rsidRDefault="00240CDD"/>
    <w:sectPr w:rsidR="00240CDD" w:rsidRPr="004615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AF8"/>
    <w:rsid w:val="00240CDD"/>
    <w:rsid w:val="0046150B"/>
    <w:rsid w:val="00A86684"/>
    <w:rsid w:val="00D7672B"/>
    <w:rsid w:val="00D90AF8"/>
    <w:rsid w:val="00F2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4047BD-F3BC-4EDF-B68B-6B428C001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0AF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Ttulo1">
    <w:name w:val="heading 1"/>
    <w:next w:val="Standard"/>
    <w:link w:val="Ttulo1Carc"/>
    <w:qFormat/>
    <w:rsid w:val="00D90AF8"/>
    <w:pPr>
      <w:keepNext/>
      <w:numPr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jc w:val="both"/>
      <w:textAlignment w:val="baseline"/>
      <w:outlineLvl w:val="0"/>
    </w:pPr>
    <w:rPr>
      <w:rFonts w:ascii="Arial" w:eastAsia="Arial" w:hAnsi="Arial" w:cs="Arial"/>
      <w:b/>
      <w:i/>
      <w:color w:val="729FCF"/>
      <w:kern w:val="2"/>
      <w:sz w:val="24"/>
      <w:szCs w:val="20"/>
      <w:u w:val="single" w:color="729FCF"/>
      <w:lang w:eastAsia="zh-CN" w:bidi="hi-I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character" w:customStyle="1" w:styleId="Ttulo1Carc">
    <w:name w:val="Título 1 Carác."/>
    <w:basedOn w:val="Tipodeletrapredefinidodopargrafo"/>
    <w:link w:val="Ttulo1"/>
    <w:rsid w:val="00D90AF8"/>
    <w:rPr>
      <w:rFonts w:ascii="Arial" w:eastAsia="Arial" w:hAnsi="Arial" w:cs="Arial"/>
      <w:b/>
      <w:i/>
      <w:color w:val="729FCF"/>
      <w:kern w:val="2"/>
      <w:sz w:val="24"/>
      <w:szCs w:val="20"/>
      <w:u w:val="single" w:color="729FCF"/>
      <w:lang w:eastAsia="zh-CN" w:bidi="hi-IN"/>
    </w:rPr>
  </w:style>
  <w:style w:type="paragraph" w:customStyle="1" w:styleId="Standard">
    <w:name w:val="Standard"/>
    <w:rsid w:val="00D90AF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2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1754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11385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Pérez Santos, María Uxía</cp:lastModifiedBy>
  <cp:revision>2</cp:revision>
  <dcterms:created xsi:type="dcterms:W3CDTF">2022-11-11T12:33:00Z</dcterms:created>
  <dcterms:modified xsi:type="dcterms:W3CDTF">2022-11-11T12:33:00Z</dcterms:modified>
</cp:coreProperties>
</file>